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34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附件1       </w:t>
      </w:r>
    </w:p>
    <w:p>
      <w:pPr>
        <w:widowControl/>
        <w:spacing w:line="340" w:lineRule="exact"/>
        <w:jc w:val="center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资源与环境工程学院</w:t>
      </w:r>
    </w:p>
    <w:p>
      <w:pPr>
        <w:widowControl/>
        <w:spacing w:line="340" w:lineRule="exact"/>
        <w:jc w:val="center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喀斯特环境与地质灾害重点实验室</w:t>
      </w:r>
    </w:p>
    <w:p>
      <w:pPr>
        <w:widowControl/>
        <w:spacing w:line="480" w:lineRule="exact"/>
        <w:jc w:val="center"/>
        <w:rPr>
          <w:rFonts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研究生综合成绩测评办法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根据贵州大学制定的《贵州大学研究生综合成绩测评办法》（试行），结合学院及实验室特点特制定了研究生综合成绩测评办法。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总成绩由思想政治分、课程综合成绩和科研分组成，权重及计算方法如下：</w:t>
      </w:r>
    </w:p>
    <w:p>
      <w:pPr>
        <w:spacing w:line="480" w:lineRule="exact"/>
        <w:ind w:firstLine="640" w:firstLineChars="200"/>
        <w:rPr>
          <w:rFonts w:ascii="仿宋" w:hAnsi="仿宋" w:eastAsia="仿宋"/>
          <w:sz w:val="28"/>
          <w:szCs w:val="28"/>
        </w:rPr>
      </w:pPr>
      <w:r>
        <w:rPr>
          <w:rFonts w:ascii="仿宋_GB2312" w:hAnsi="宋体" w:eastAsia="仿宋_GB2312" w:cs="Tahoma"/>
          <w:color w:val="000000"/>
          <w:sz w:val="32"/>
          <w:szCs w:val="3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635000</wp:posOffset>
            </wp:positionH>
            <wp:positionV relativeFrom="paragraph">
              <wp:posOffset>161290</wp:posOffset>
            </wp:positionV>
            <wp:extent cx="4112260" cy="905510"/>
            <wp:effectExtent l="0" t="0" r="2540" b="8890"/>
            <wp:wrapSquare wrapText="bothSides"/>
            <wp:docPr id="3" name="图片 3" descr="daum_equation_1533530305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aum_equation_15335303054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226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80" w:lineRule="exact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spacing w:line="480" w:lineRule="exact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spacing w:line="480" w:lineRule="exact"/>
        <w:jc w:val="left"/>
        <w:rPr>
          <w:rFonts w:hint="eastAsia" w:ascii="仿宋_GB2312" w:hAnsi="宋体" w:eastAsia="仿宋_GB2312" w:cs="Tahoma"/>
          <w:color w:val="000000"/>
          <w:sz w:val="32"/>
          <w:szCs w:val="32"/>
        </w:rPr>
      </w:pP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式中：A为思想政治分，B为课程综合成绩，C为科研分，均按百分制计分。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百分制成绩转化公式：</w:t>
      </w:r>
    </w:p>
    <w:p>
      <w:pPr>
        <w:jc w:val="center"/>
        <w:rPr>
          <w:rFonts w:hint="eastAsia" w:ascii="Cambria Math" w:hAnsi="Cambria Math" w:eastAsia="仿宋_GB2312" w:cs="Tahoma"/>
          <w:color w:val="000000"/>
          <w:sz w:val="28"/>
          <w:szCs w:val="28"/>
          <w:lang w:val="en-US" w:eastAsia="zh-CN"/>
        </w:rPr>
      </w:pPr>
      <w:r>
        <w:rPr>
          <w:rFonts w:hint="eastAsia" w:ascii="Cambria Math" w:hAnsi="Cambria Math" w:eastAsia="仿宋_GB2312" w:cs="Tahoma"/>
          <w:color w:val="000000"/>
          <w:sz w:val="28"/>
          <w:szCs w:val="28"/>
        </w:rPr>
        <w:t>成绩</w:t>
      </w:r>
      <w:r>
        <w:rPr>
          <w:rFonts w:hint="eastAsia" w:ascii="Cambria Math" w:hAnsi="Cambria Math" w:eastAsia="仿宋_GB2312" w:cs="Tahoma"/>
          <w:color w:val="000000"/>
          <w:sz w:val="28"/>
          <w:szCs w:val="28"/>
          <w:lang w:val="en-US" w:eastAsia="zh-CN"/>
        </w:rPr>
        <w:t>=</w:t>
      </w:r>
      <w:r>
        <w:rPr>
          <w:rFonts w:hint="eastAsia" w:ascii="Cambria Math" w:hAnsi="Cambria Math" w:eastAsia="仿宋_GB2312" w:cs="Tahoma"/>
          <w:color w:val="000000"/>
          <w:position w:val="-26"/>
          <w:sz w:val="28"/>
          <w:szCs w:val="28"/>
          <w:lang w:val="en-US" w:eastAsia="zh-CN"/>
        </w:rPr>
        <w:object>
          <v:shape id="_x0000_i1025" o:spt="75" type="#_x0000_t75" style="height:33pt;width:11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</w:p>
    <w:p>
      <w:pPr>
        <w:spacing w:line="480" w:lineRule="exact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一、</w:t>
      </w:r>
      <w:r>
        <w:rPr>
          <w:rFonts w:hint="eastAsia" w:ascii="仿宋" w:hAnsi="仿宋" w:eastAsia="仿宋"/>
          <w:b/>
          <w:bCs/>
          <w:sz w:val="28"/>
          <w:szCs w:val="28"/>
        </w:rPr>
        <w:t>思想政治分</w:t>
      </w:r>
      <w:r>
        <w:rPr>
          <w:rFonts w:hint="eastAsia" w:ascii="仿宋" w:hAnsi="仿宋" w:eastAsia="仿宋"/>
          <w:sz w:val="28"/>
          <w:szCs w:val="28"/>
        </w:rPr>
        <w:t>A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（满分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）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vertAlign w:val="baseline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思想政治分</w:t>
      </w:r>
      <w:r>
        <w:rPr>
          <w:rFonts w:hint="eastAsia" w:ascii="仿宋" w:hAnsi="仿宋" w:eastAsia="仿宋"/>
          <w:sz w:val="28"/>
          <w:szCs w:val="28"/>
        </w:rPr>
        <w:t>包括四个部分，即思想政治分A=导师评分A</w:t>
      </w:r>
      <w:r>
        <w:rPr>
          <w:rFonts w:hint="eastAsia" w:ascii="仿宋" w:hAnsi="仿宋" w:eastAsia="仿宋"/>
          <w:sz w:val="28"/>
          <w:szCs w:val="28"/>
          <w:vertAlign w:val="subscript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*40%</w:t>
      </w:r>
      <w:r>
        <w:rPr>
          <w:rFonts w:hint="eastAsia" w:ascii="仿宋" w:hAnsi="仿宋" w:eastAsia="仿宋"/>
          <w:sz w:val="28"/>
          <w:szCs w:val="28"/>
        </w:rPr>
        <w:t>+管理人员评分A</w:t>
      </w:r>
      <w:r>
        <w:rPr>
          <w:rFonts w:hint="eastAsia" w:ascii="仿宋" w:hAnsi="仿宋" w:eastAsia="仿宋"/>
          <w:sz w:val="28"/>
          <w:szCs w:val="28"/>
          <w:vertAlign w:val="subscript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*30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%</w:t>
      </w:r>
      <w:r>
        <w:rPr>
          <w:rFonts w:hint="eastAsia" w:ascii="仿宋" w:hAnsi="仿宋" w:eastAsia="仿宋"/>
          <w:sz w:val="28"/>
          <w:szCs w:val="28"/>
        </w:rPr>
        <w:t>+学生互评分A</w:t>
      </w:r>
      <w:r>
        <w:rPr>
          <w:rFonts w:hint="eastAsia" w:ascii="仿宋" w:hAnsi="仿宋" w:eastAsia="仿宋"/>
          <w:sz w:val="28"/>
          <w:szCs w:val="28"/>
          <w:vertAlign w:val="subscript"/>
        </w:rPr>
        <w:t>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*30%</w:t>
      </w:r>
      <w:r>
        <w:rPr>
          <w:rFonts w:hint="eastAsia" w:ascii="仿宋" w:hAnsi="仿宋" w:eastAsia="仿宋"/>
          <w:sz w:val="28"/>
          <w:szCs w:val="28"/>
        </w:rPr>
        <w:t>- A</w:t>
      </w:r>
      <w:r>
        <w:rPr>
          <w:rFonts w:hint="eastAsia" w:ascii="仿宋" w:hAnsi="仿宋" w:eastAsia="仿宋"/>
          <w:sz w:val="28"/>
          <w:szCs w:val="28"/>
          <w:vertAlign w:val="subscript"/>
        </w:rPr>
        <w:t>4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。</w:t>
      </w:r>
    </w:p>
    <w:p>
      <w:pPr>
        <w:spacing w:line="48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（一）导师评分A</w:t>
      </w:r>
      <w:r>
        <w:rPr>
          <w:rFonts w:hint="eastAsia" w:ascii="仿宋" w:hAnsi="仿宋" w:eastAsia="仿宋"/>
          <w:sz w:val="28"/>
          <w:szCs w:val="28"/>
          <w:vertAlign w:val="subscript"/>
          <w:lang w:eastAsia="zh-CN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评分细则（满分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1．拥护中国共产党的领导，认真学习马克思列宁主义、毛泽东思想、邓小平理论、“三个代表”重要思想、科学发展观、习近平新时代中国特色社会主义思想；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2.自觉遵守国家法律法规，具有较强的社会责任和集体荣誉感；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3.自觉遵守校纪校规，自觉遵守实验室的规定和安全规范，自觉遵守科学道德和学术规范要求。自觉维护社会公德，在公共场所举止文明得体；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4.学风端正，学习目的明确，有科学的思想方法和严谨的治学精神。谦虚好学，刻苦认真，不迟到，不早退，不旷课。考风良好，考试不舞弊；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5.遵守宿舍管理规定，具有良好的生活习惯，宿舍卫生情况良好；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/>
          <w:sz w:val="28"/>
          <w:szCs w:val="28"/>
          <w:lang w:eastAsia="zh-CN"/>
        </w:rPr>
        <w:t>关心他人，尊敬老师，团结同学。</w:t>
      </w:r>
    </w:p>
    <w:p>
      <w:pPr>
        <w:spacing w:line="480" w:lineRule="exac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（二）管理人员评分A</w:t>
      </w:r>
      <w:r>
        <w:rPr>
          <w:rFonts w:hint="eastAsia" w:ascii="仿宋" w:hAnsi="仿宋" w:eastAsia="仿宋"/>
          <w:sz w:val="28"/>
          <w:szCs w:val="28"/>
          <w:vertAlign w:val="subscript"/>
          <w:lang w:eastAsia="zh-CN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评分细则（满分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vertAlign w:val="baseline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管理人员评分A</w:t>
      </w:r>
      <w:r>
        <w:rPr>
          <w:rFonts w:hint="eastAsia" w:ascii="仿宋" w:hAnsi="仿宋" w:eastAsia="仿宋"/>
          <w:sz w:val="28"/>
          <w:szCs w:val="28"/>
          <w:vertAlign w:val="subscript"/>
          <w:lang w:eastAsia="zh-CN"/>
        </w:rPr>
        <w:t>2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分值由管理人员评价（</w:t>
      </w:r>
      <w:r>
        <w:rPr>
          <w:rFonts w:hint="eastAsia" w:ascii="仿宋" w:hAnsi="仿宋" w:eastAsia="仿宋"/>
          <w:sz w:val="28"/>
          <w:szCs w:val="28"/>
          <w:vertAlign w:val="baseline"/>
          <w:lang w:val="en-US" w:eastAsia="zh-CN"/>
        </w:rPr>
        <w:t>50%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）及担任社会职务（</w:t>
      </w:r>
      <w:r>
        <w:rPr>
          <w:rFonts w:hint="eastAsia" w:ascii="仿宋" w:hAnsi="仿宋" w:eastAsia="仿宋"/>
          <w:sz w:val="28"/>
          <w:szCs w:val="28"/>
          <w:vertAlign w:val="baseline"/>
          <w:lang w:val="en-US" w:eastAsia="zh-CN"/>
        </w:rPr>
        <w:t>50%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）组成。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sz w:val="28"/>
          <w:szCs w:val="28"/>
          <w:lang w:eastAsia="zh-CN"/>
        </w:rPr>
        <w:t>管理人员评价计分标准</w:t>
      </w:r>
    </w:p>
    <w:tbl>
      <w:tblPr>
        <w:tblStyle w:val="5"/>
        <w:tblW w:w="83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6"/>
        <w:gridCol w:w="2325"/>
        <w:gridCol w:w="22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/>
                <w:sz w:val="21"/>
                <w:szCs w:val="21"/>
              </w:rPr>
              <w:t>管理人员评价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思想政治及日常综合表现等</w:t>
            </w: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等级</w:t>
            </w: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分值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38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优秀</w:t>
            </w: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38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良好</w:t>
            </w: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38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left="0" w:left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after="156" w:afterLines="50"/>
        <w:ind w:firstLine="40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注：由思政辅导员统一进行评价计分。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2、担任社会职务的计分标准</w:t>
      </w:r>
    </w:p>
    <w:tbl>
      <w:tblPr>
        <w:tblStyle w:val="5"/>
        <w:tblW w:w="83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1620"/>
        <w:gridCol w:w="1575"/>
        <w:gridCol w:w="2355"/>
      </w:tblGrid>
      <w:tr>
        <w:tblPrEx>
          <w:tblLayout w:type="fixed"/>
        </w:tblPrEx>
        <w:trPr>
          <w:trHeight w:val="20" w:hRule="atLeast"/>
          <w:jc w:val="center"/>
        </w:trPr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/>
                <w:sz w:val="21"/>
                <w:szCs w:val="21"/>
              </w:rPr>
              <w:t>评价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/>
                <w:sz w:val="21"/>
                <w:szCs w:val="21"/>
              </w:rPr>
              <w:t>担任职务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优秀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良好</w:t>
            </w:r>
          </w:p>
        </w:tc>
        <w:tc>
          <w:tcPr>
            <w:tcW w:w="2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评价单位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校级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2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研究生工作部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院级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0</w:t>
            </w:r>
          </w:p>
        </w:tc>
        <w:tc>
          <w:tcPr>
            <w:tcW w:w="2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班级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0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2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班级</w:t>
            </w:r>
          </w:p>
        </w:tc>
      </w:tr>
    </w:tbl>
    <w:p>
      <w:pPr>
        <w:widowControl/>
        <w:spacing w:after="156" w:afterLines="50"/>
        <w:ind w:firstLine="56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注：需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  <w:lang w:eastAsia="zh-CN"/>
        </w:rPr>
        <w:t>评价单位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出具任职及评价证明。</w:t>
      </w:r>
    </w:p>
    <w:p>
      <w:pPr>
        <w:spacing w:line="480" w:lineRule="exac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（三）学生互评A</w:t>
      </w:r>
      <w:r>
        <w:rPr>
          <w:rFonts w:hint="eastAsia" w:ascii="仿宋" w:hAnsi="仿宋" w:eastAsia="仿宋"/>
          <w:sz w:val="28"/>
          <w:szCs w:val="28"/>
          <w:vertAlign w:val="subscript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lang w:eastAsia="zh-CN"/>
        </w:rPr>
        <w:t>评分细则（满分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由学生代表、班级干部、党团支部委员、研究生会代表组成评分团队，进行学生互评。互评评分包括参加社会活动评分（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80%</w:t>
      </w:r>
      <w:r>
        <w:rPr>
          <w:rFonts w:hint="eastAsia" w:ascii="仿宋" w:hAnsi="仿宋" w:eastAsia="仿宋"/>
          <w:sz w:val="28"/>
          <w:szCs w:val="28"/>
          <w:lang w:eastAsia="zh-CN"/>
        </w:rPr>
        <w:t>）及参加院级活动评分（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20%</w:t>
      </w:r>
      <w:r>
        <w:rPr>
          <w:rFonts w:hint="eastAsia" w:ascii="仿宋" w:hAnsi="仿宋" w:eastAsia="仿宋"/>
          <w:sz w:val="28"/>
          <w:szCs w:val="28"/>
          <w:lang w:eastAsia="zh-CN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sz w:val="28"/>
          <w:szCs w:val="28"/>
          <w:lang w:eastAsia="zh-CN"/>
        </w:rPr>
        <w:t>社会活动评分标准如下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eastAsia="zh-CN"/>
        </w:rPr>
        <w:t>满分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100分</w:t>
      </w:r>
      <w:r>
        <w:rPr>
          <w:rFonts w:hint="eastAsia" w:ascii="仿宋" w:hAnsi="仿宋" w:eastAsia="仿宋"/>
          <w:sz w:val="28"/>
          <w:szCs w:val="28"/>
        </w:rPr>
        <w:t>）</w:t>
      </w:r>
    </w:p>
    <w:tbl>
      <w:tblPr>
        <w:tblStyle w:val="5"/>
        <w:tblW w:w="85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1701"/>
        <w:gridCol w:w="1559"/>
        <w:gridCol w:w="1222"/>
        <w:gridCol w:w="1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等次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获奖级别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一等奖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二等奖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三等奖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国家级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省部级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地（市）级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  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</w:tr>
    </w:tbl>
    <w:p>
      <w:pPr>
        <w:widowControl/>
        <w:spacing w:after="156" w:afterLines="50"/>
        <w:ind w:firstLine="40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注：社会活动获奖是指在国家、省和学校举行的学生干部评优评奖、各种科技和文化体育活动中，代表学校或资源与环境工程学院参加所获得奖励。根据研究生在获奖证书中的排名情况，作者排名每递减一位相应减去</w:t>
      </w:r>
      <w:r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  <w:t>5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分，以此类推。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2、院级活动评分标准如下（满分100分）：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由申请人提供参加院级活动情况，由学生评分团队根据证明材料进行评分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。同一活动有以下两种情况者，按最高分值加分；不同活动奖项分数可累加。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1、获院级活动奖励证书的按以下评分标准计分。</w:t>
      </w:r>
    </w:p>
    <w:tbl>
      <w:tblPr>
        <w:tblStyle w:val="5"/>
        <w:tblpPr w:leftFromText="180" w:rightFromText="180" w:vertAnchor="text" w:horzAnchor="page" w:tblpX="2216" w:tblpY="233"/>
        <w:tblOverlap w:val="never"/>
        <w:tblW w:w="80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8"/>
        <w:gridCol w:w="1408"/>
        <w:gridCol w:w="1545"/>
        <w:gridCol w:w="1575"/>
        <w:gridCol w:w="15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91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ind w:firstLine="422" w:firstLineChars="20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等次</w:t>
            </w:r>
          </w:p>
          <w:p>
            <w:pPr>
              <w:spacing w:line="560" w:lineRule="exact"/>
              <w:ind w:firstLine="211" w:firstLineChars="10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获奖级别</w:t>
            </w:r>
          </w:p>
        </w:tc>
        <w:tc>
          <w:tcPr>
            <w:tcW w:w="14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一等奖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二等奖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三等奖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优秀奖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ind w:firstLine="420" w:firstLineChars="20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院级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无活动奖励证书的，组织、参加院级活动的由研究生会、团总支提供名单，按以下评分标准计分。</w:t>
      </w:r>
    </w:p>
    <w:tbl>
      <w:tblPr>
        <w:tblStyle w:val="5"/>
        <w:tblpPr w:leftFromText="180" w:rightFromText="180" w:vertAnchor="text" w:horzAnchor="page" w:tblpX="2195" w:tblpY="232"/>
        <w:tblOverlap w:val="never"/>
        <w:tblW w:w="80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3"/>
        <w:gridCol w:w="2397"/>
        <w:gridCol w:w="26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30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ind w:firstLine="422" w:firstLineChars="20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类别</w:t>
            </w:r>
          </w:p>
          <w:p>
            <w:pPr>
              <w:spacing w:line="560" w:lineRule="exact"/>
              <w:ind w:firstLine="422" w:firstLineChars="20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获奖级别</w:t>
            </w:r>
          </w:p>
        </w:tc>
        <w:tc>
          <w:tcPr>
            <w:tcW w:w="23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组织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参加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ind w:firstLine="630" w:firstLineChars="30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院级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（四）有下列情行的酌情扣分（A</w:t>
      </w:r>
      <w:r>
        <w:rPr>
          <w:rFonts w:hint="eastAsia" w:ascii="仿宋" w:hAnsi="仿宋" w:eastAsia="仿宋"/>
          <w:sz w:val="28"/>
          <w:szCs w:val="28"/>
          <w:vertAlign w:val="subscript"/>
          <w:lang w:eastAsia="zh-CN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1.不遵守教学秩序多次违反课堂纪律（如迟到、早退、旷课、影响教学等）扣1-5分；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2.受培养单位通报批评者一次扣2分，受学校通报批评者一次扣4分；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3.学校、培养单位组织且要求必须参加的活动，无故不参加的，每次扣1-5分；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4.在学校或培养单位组织的寝室检查中，不配合或抵触的一次扣2分，造成不良影响的一次扣5分。检查中，不合格寝室的成员均扣1分，受通报批评的寝室，其成员一次扣2分。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5.在突发、偶发和公共事件处理过程中，不听从组织安排，造成不良影响的一次扣6分；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6.通过网络、微博、微信等渠道发布不实信息，给学校声誉造成影响的扣10分；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7.其他各培养单位经公示无异议，报党委研究生工作部备案的扣分项目。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因同一事由（件）被扣分者，以最高项记，不同事由（件）造成的扣分要累加。</w:t>
      </w:r>
    </w:p>
    <w:p>
      <w:pPr>
        <w:spacing w:line="480" w:lineRule="exact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二、课程综合成绩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B（满分100分）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课程考核由研究生培养方案中学位课和非学位课程成绩组成，权重及计算方法如下：</w:t>
      </w:r>
    </w:p>
    <w:p>
      <w:pPr>
        <w:jc w:val="center"/>
        <w:rPr>
          <w:rFonts w:ascii="仿宋" w:hAnsi="仿宋" w:eastAsia="仿宋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 w:eastAsia="仿宋"/>
              <w:sz w:val="32"/>
              <w:szCs w:val="32"/>
            </w:rPr>
            <m:t>B=0.8</m:t>
          </m:r>
          <m:f>
            <m:fPr>
              <m:ctrlPr>
                <w:rPr>
                  <w:rFonts w:ascii="Cambria Math" w:hAnsi="Cambria Math" w:eastAsia="仿宋"/>
                  <w:sz w:val="32"/>
                  <w:szCs w:val="3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naryPr>
                <m:sub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b>
                <m:sup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p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26" o:spt="75" type="#_x0000_t75" style="height:18.75pt;width:12pt;" o:ole="t" filled="f" o:preferrelative="t" stroked="f" coordsize="21600,21600">
                        <v:path/>
                        <v:fill on="f" focussize="0,0"/>
                        <v:stroke on="f"/>
                        <v:imagedata r:id="rId8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6" DrawAspect="Content" ObjectID="_1468075726" r:id="rId7">
                        <o:LockedField>false</o:LockedField>
                      </o:OLEObject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 w:eastAsia="仿宋"/>
                      <w:sz w:val="32"/>
                      <w:szCs w:val="32"/>
                    </w:rPr>
                    <m:t>*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27" o:spt="75" type="#_x0000_t75" style="height:18.75pt;width:15pt;" o:ole="t" filled="f" o:preferrelative="t" stroked="f" coordsize="21600,21600">
                        <v:path/>
                        <v:fill on="f" focussize="0,0"/>
                        <v:stroke on="f"/>
                        <v:imagedata r:id="rId10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7" DrawAspect="Content" ObjectID="_1468075727" r:id="rId9">
                        <o:LockedField>false</o:LockedField>
                      </o:OLEObject>
                    </w:object>
                  </m:r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e>
              </m:nary>
              <m:ctrlPr>
                <w:rPr>
                  <w:rFonts w:ascii="Cambria Math" w:hAnsi="Cambria Math" w:eastAsia="仿宋"/>
                  <w:sz w:val="32"/>
                  <w:szCs w:val="32"/>
                </w:rPr>
              </m:ctrlP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naryPr>
                <m:sub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b>
                <m:sup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p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28" o:spt="75" type="#_x0000_t75" style="height:18.75pt;width:15pt;" o:ole="t" filled="f" o:preferrelative="t" stroked="f" coordsize="21600,21600">
                        <v:path/>
                        <v:fill on="f" focussize="0,0"/>
                        <v:stroke on="f"/>
                        <v:imagedata r:id="rId10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8" DrawAspect="Content" ObjectID="_1468075728" r:id="rId11">
                        <o:LockedField>false</o:LockedField>
                      </o:OLEObject>
                    </w:object>
                  </m:r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e>
              </m:nary>
              <m:ctrlPr>
                <w:rPr>
                  <w:rFonts w:ascii="Cambria Math" w:hAnsi="Cambria Math" w:eastAsia="仿宋"/>
                  <w:sz w:val="32"/>
                  <w:szCs w:val="32"/>
                </w:rPr>
              </m:ctrlPr>
            </m:den>
          </m:f>
          <m:r>
            <w:rPr>
              <w:rFonts w:ascii="Cambria Math" w:hAnsi="Cambria Math" w:eastAsia="仿宋"/>
              <w:sz w:val="32"/>
              <w:szCs w:val="32"/>
            </w:rPr>
            <m:t>+0.2</m:t>
          </m:r>
          <m:f>
            <m:fPr>
              <m:ctrlPr>
                <w:rPr>
                  <w:rFonts w:ascii="Cambria Math" w:hAnsi="Cambria Math" w:eastAsia="仿宋"/>
                  <w:i/>
                  <w:sz w:val="32"/>
                  <w:szCs w:val="3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naryPr>
                <m:sub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b>
                <m:sup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p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29" o:spt="75" type="#_x0000_t75" style="height:18.75pt;width:14.25pt;" o:ole="t" filled="f" o:preferrelative="t" stroked="f" coordsize="21600,21600">
                        <v:path/>
                        <v:fill on="f" focussize="0,0"/>
                        <v:stroke on="f"/>
                        <v:imagedata r:id="rId13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9" DrawAspect="Content" ObjectID="_1468075729" r:id="rId12">
                        <o:LockedField>false</o:LockedField>
                      </o:OLEObject>
                    </w:object>
                  </m:r>
                  <m:r>
                    <w:rPr>
                      <w:rFonts w:ascii="Cambria Math" w:hAnsi="Cambria Math" w:eastAsia="仿宋"/>
                      <w:sz w:val="32"/>
                      <w:szCs w:val="32"/>
                    </w:rPr>
                    <m:t>*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30" o:spt="75" type="#_x0000_t75" style="height:18.75pt;width:18pt;" o:ole="t" filled="f" o:preferrelative="t" stroked="f" coordsize="21600,21600">
                        <v:path/>
                        <v:fill on="f" focussize="0,0"/>
                        <v:stroke on="f"/>
                        <v:imagedata r:id="rId15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0" DrawAspect="Content" ObjectID="_1468075730" r:id="rId14">
                        <o:LockedField>false</o:LockedField>
                      </o:OLEObject>
                    </w:object>
                  </m:r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e>
              </m:nary>
              <m:ctrlPr>
                <w:rPr>
                  <w:rFonts w:ascii="Cambria Math" w:hAnsi="Cambria Math" w:eastAsia="仿宋"/>
                  <w:i/>
                  <w:sz w:val="32"/>
                  <w:szCs w:val="32"/>
                </w:rPr>
              </m:ctrlP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naryPr>
                <m:sub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b>
                <m:sup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sup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仿宋_GB2312" w:cs="Tahoma"/>
                      <w:color w:val="000000"/>
                      <w:sz w:val="32"/>
                      <w:szCs w:val="32"/>
                    </w:rPr>
                    <w:object>
                      <v:shape id="_x0000_i1031" o:spt="75" type="#_x0000_t75" style="height:18.75pt;width:18pt;" o:ole="t" filled="f" o:preferrelative="t" stroked="f" coordsize="21600,21600">
                        <v:path/>
                        <v:fill on="f" focussize="0,0"/>
                        <v:stroke on="f"/>
                        <v:imagedata r:id="rId15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1" DrawAspect="Content" ObjectID="_1468075731" r:id="rId16">
                        <o:LockedField>false</o:LockedField>
                      </o:OLEObject>
                    </w:object>
                  </m:r>
                  <m:ctrlPr>
                    <w:rPr>
                      <w:rFonts w:ascii="Cambria Math" w:hAnsi="Cambria Math" w:eastAsia="仿宋"/>
                      <w:i/>
                      <w:sz w:val="32"/>
                      <w:szCs w:val="32"/>
                    </w:rPr>
                  </m:ctrlPr>
                </m:e>
              </m:nary>
              <m:ctrlPr>
                <w:rPr>
                  <w:rFonts w:ascii="Cambria Math" w:hAnsi="Cambria Math" w:eastAsia="仿宋"/>
                  <w:i/>
                  <w:sz w:val="32"/>
                  <w:szCs w:val="32"/>
                </w:rPr>
              </m:ctrlPr>
            </m:den>
          </m:f>
        </m:oMath>
      </m:oMathPara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其中，B为课程考核分数，</w:t>
      </w:r>
      <w:r>
        <w:rPr>
          <w:rFonts w:hint="eastAsia" w:ascii="仿宋" w:hAnsi="仿宋" w:eastAsia="仿宋"/>
          <w:sz w:val="28"/>
          <w:szCs w:val="28"/>
          <w:lang w:eastAsia="zh-CN"/>
        </w:rPr>
        <w:object>
          <v:shape id="_x0000_i1032" o:spt="75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仿宋" w:hAnsi="仿宋" w:eastAsia="仿宋"/>
          <w:sz w:val="28"/>
          <w:szCs w:val="28"/>
          <w:lang w:eastAsia="zh-CN"/>
        </w:rPr>
        <w:t>为学位课（含必修课）成绩，</w:t>
      </w:r>
      <w:r>
        <w:rPr>
          <w:rFonts w:hint="eastAsia" w:ascii="仿宋" w:hAnsi="仿宋" w:eastAsia="仿宋"/>
          <w:sz w:val="28"/>
          <w:szCs w:val="28"/>
          <w:lang w:eastAsia="zh-CN"/>
        </w:rPr>
        <w:object>
          <v:shape id="_x0000_i1033" o:spt="75" type="#_x0000_t75" style="height:18.75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eastAsia" w:ascii="仿宋" w:hAnsi="仿宋" w:eastAsia="仿宋"/>
          <w:sz w:val="28"/>
          <w:szCs w:val="28"/>
          <w:lang w:eastAsia="zh-CN"/>
        </w:rPr>
        <w:t>为对应的课程学分，</w:t>
      </w:r>
      <w:r>
        <w:rPr>
          <w:rFonts w:hint="eastAsia" w:ascii="仿宋" w:hAnsi="仿宋" w:eastAsia="仿宋"/>
          <w:sz w:val="28"/>
          <w:szCs w:val="28"/>
          <w:lang w:eastAsia="zh-CN"/>
        </w:rPr>
        <w:object>
          <v:shape id="_x0000_i1034" o:spt="75" type="#_x0000_t75" style="height:18.75pt;width:14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eastAsia" w:ascii="仿宋" w:hAnsi="仿宋" w:eastAsia="仿宋"/>
          <w:sz w:val="28"/>
          <w:szCs w:val="28"/>
          <w:lang w:eastAsia="zh-CN"/>
        </w:rPr>
        <w:t>为非学位课成绩，</w:t>
      </w:r>
      <w:r>
        <w:rPr>
          <w:rFonts w:hint="eastAsia" w:ascii="仿宋" w:hAnsi="仿宋" w:eastAsia="仿宋"/>
          <w:sz w:val="28"/>
          <w:szCs w:val="28"/>
          <w:lang w:eastAsia="zh-CN"/>
        </w:rPr>
        <w:object>
          <v:shape id="_x0000_i1035" o:spt="75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eastAsia" w:ascii="仿宋" w:hAnsi="仿宋" w:eastAsia="仿宋"/>
          <w:sz w:val="28"/>
          <w:szCs w:val="28"/>
          <w:lang w:eastAsia="zh-CN"/>
        </w:rPr>
        <w:t>为对应的课程学分。成绩按百分制计算。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firstLine="562" w:firstLineChars="200"/>
        <w:jc w:val="left"/>
        <w:textAlignment w:val="auto"/>
        <w:outlineLvl w:val="9"/>
        <w:rPr>
          <w:rFonts w:ascii="仿宋" w:hAnsi="仿宋" w:eastAsia="仿宋"/>
          <w:b/>
          <w:sz w:val="28"/>
          <w:szCs w:val="28"/>
          <w:lang w:val="en-US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三、科研分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科研（学术）成果包括：专利、获奖类、学术论文（专著）、主持科研项目、参加学术会议四个部分。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（一）科研（学术）成果的认定要求：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1.所有成果第一完成单位须为贵州大学，参评者须为第一作者；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 xml:space="preserve">    2.成果须是在读研期间完成；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3.所有成果在各类奖学金评定中不能重复使用。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（二）SCI文章分区认定依据以加盖贵州大学图书馆公章的检索报告为准。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（三）中文核心的判定依据为中国知网（CNKI）“期刊大全” 中“核心期刊导航”为准，增刊不列入核心期刊。</w:t>
      </w:r>
    </w:p>
    <w:p>
      <w:pPr>
        <w:spacing w:line="560" w:lineRule="exac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（四）中文期刊类型认定方法：请参评研究生自行打印本人论文在“中国知网”上的期刊信息，附在发表论文首页。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四）中国“互联网+”大学生创新创业大赛、“挑战杯”全国大学生课外学术科技作品竞赛、“挑战杯”中国大学生创业计划大赛、“外研社杯”全国英语演讲大赛、全国研究生数学建模竞赛、全国研究生电子设计竞赛、全国地质技能大赛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全国大学生节能减排社会实践与科技竞赛</w:t>
      </w:r>
      <w:r>
        <w:rPr>
          <w:rFonts w:hint="eastAsia" w:ascii="仿宋" w:hAnsi="仿宋" w:eastAsia="仿宋"/>
          <w:sz w:val="28"/>
          <w:szCs w:val="28"/>
          <w:lang w:eastAsia="zh-CN"/>
        </w:rPr>
        <w:t>等，具有较大影响力的竞赛获奖，视为国家级奖项，其对应的省级（地区）竞赛视为省部级。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具体评价标准如下表：</w:t>
      </w:r>
    </w:p>
    <w:p>
      <w:pPr>
        <w:widowControl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一</w:t>
      </w:r>
      <w:r>
        <w:rPr>
          <w:rFonts w:hint="eastAsia" w:ascii="仿宋" w:hAnsi="仿宋" w:eastAsia="仿宋"/>
          <w:b/>
          <w:sz w:val="28"/>
          <w:szCs w:val="28"/>
        </w:rPr>
        <w:t xml:space="preserve">  专利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、获奖类</w:t>
      </w:r>
      <w:r>
        <w:rPr>
          <w:rFonts w:hint="eastAsia" w:ascii="仿宋" w:hAnsi="仿宋" w:eastAsia="仿宋"/>
          <w:b/>
          <w:sz w:val="28"/>
          <w:szCs w:val="28"/>
        </w:rPr>
        <w:t>计分标准（单位：分/项）</w:t>
      </w:r>
    </w:p>
    <w:tbl>
      <w:tblPr>
        <w:tblStyle w:val="5"/>
        <w:tblW w:w="84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2181"/>
        <w:gridCol w:w="601"/>
        <w:gridCol w:w="601"/>
        <w:gridCol w:w="601"/>
        <w:gridCol w:w="601"/>
        <w:gridCol w:w="601"/>
        <w:gridCol w:w="601"/>
        <w:gridCol w:w="6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  <w:t>级别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总分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第一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第二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第三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第四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val="en-US" w:eastAsia="zh-CN"/>
              </w:rPr>
              <w:t>第六及以后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获授权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国际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发明专利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获授权国家发明专利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FF0000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45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获授权实用新型专利（限三项）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FF0000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外观设计专利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（限一项）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软件登记证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（限一项）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FF0000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申请国家发明专利（有正式申请号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限一项）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color w:val="FF0000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获奖（同1项成果按所获最高奖次记分）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国家科学技术奖一等奖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170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国家科学技术奖二等奖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高等学校科学研究优秀成果奖一等奖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160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90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7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高等学校科学研究优秀成果奖二等奖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120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70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高等学校科学研究优秀成果奖青年科学奖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省级和其他部级科学技术一等奖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7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省级和其他部级科学技术二等奖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07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省级科学技术三等奖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2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</w:tr>
    </w:tbl>
    <w:p>
      <w:pPr>
        <w:widowControl/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表二  学术论文（专著）的计分标准（单位：分</w:t>
      </w:r>
      <w:r>
        <w:rPr>
          <w:rFonts w:ascii="仿宋" w:hAnsi="仿宋" w:eastAsia="仿宋"/>
          <w:b/>
          <w:sz w:val="28"/>
          <w:szCs w:val="28"/>
        </w:rPr>
        <w:t>/</w:t>
      </w:r>
      <w:r>
        <w:rPr>
          <w:rFonts w:hint="eastAsia" w:ascii="仿宋" w:hAnsi="仿宋" w:eastAsia="仿宋"/>
          <w:b/>
          <w:sz w:val="28"/>
          <w:szCs w:val="28"/>
        </w:rPr>
        <w:t>篇）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4550"/>
        <w:gridCol w:w="3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18"/>
                <w:szCs w:val="18"/>
                <w:lang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论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文</w:t>
            </w: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《Science》、《Nature》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SCI一区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SCI二区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SCI三区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SCI四区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EI源期刊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贵州大学一级学术期刊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ISTP、EI会议论文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中文核心期刊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  <w:lang w:val="en-US" w:eastAsia="zh-CN"/>
              </w:rPr>
              <w:t>SCD期刊收录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eastAsia="zh-CN"/>
              </w:rPr>
              <w:t>一般学术刊物（限一篇）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专著</w:t>
            </w: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国家二级以上出版社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每万字4分（上限100分）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</w:p>
        </w:tc>
        <w:tc>
          <w:tcPr>
            <w:tcW w:w="45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其他出版社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每万字3分（上限75分）</w:t>
            </w:r>
          </w:p>
        </w:tc>
      </w:tr>
    </w:tbl>
    <w:p>
      <w:pPr>
        <w:widowControl/>
        <w:ind w:firstLine="40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注：</w:t>
      </w:r>
    </w:p>
    <w:p>
      <w:pPr>
        <w:widowControl/>
        <w:ind w:firstLine="402" w:firstLineChars="200"/>
        <w:jc w:val="left"/>
        <w:rPr>
          <w:rFonts w:ascii="仿宋" w:hAnsi="仿宋" w:eastAsia="仿宋" w:cs="宋体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  <w:lang w:val="en-US" w:eastAsia="zh-CN"/>
        </w:rPr>
        <w:t>1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、发表论文第一署名单位须为贵州大学或培养单位，且研究生为第一作者方可计分；</w:t>
      </w:r>
    </w:p>
    <w:p>
      <w:pPr>
        <w:widowControl/>
        <w:ind w:firstLine="40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  <w:lang w:val="en-US" w:eastAsia="zh-CN"/>
        </w:rPr>
        <w:t>2、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论文必须见刊才能计分。见刊依据为：期刊原件、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  <w:lang w:eastAsia="zh-CN"/>
        </w:rPr>
        <w:t>知网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可查询论文、期刊官网可查询期刊目录三者之一即可。</w:t>
      </w:r>
    </w:p>
    <w:p>
      <w:pPr>
        <w:widowControl/>
        <w:ind w:firstLine="402" w:firstLineChars="200"/>
        <w:jc w:val="left"/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  <w:lang w:val="en-US" w:eastAsia="zh-CN"/>
        </w:rPr>
        <w:t>3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</w:rPr>
        <w:t>、专著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  <w:lang w:eastAsia="zh-CN"/>
        </w:rPr>
        <w:t>、编著、译著研究生参加编写字数无证明的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</w:rPr>
        <w:t>按一般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  <w:lang w:eastAsia="zh-CN"/>
        </w:rPr>
        <w:t>学术刊物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0"/>
          <w:szCs w:val="18"/>
        </w:rPr>
        <w:t>分值计；</w:t>
      </w:r>
    </w:p>
    <w:p>
      <w:pPr>
        <w:widowControl/>
        <w:spacing w:after="156" w:afterLines="50"/>
        <w:ind w:firstLine="40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8"/>
          <w:szCs w:val="2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  <w:lang w:val="en-US" w:eastAsia="zh-CN"/>
        </w:rPr>
        <w:t>4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0"/>
          <w:szCs w:val="18"/>
        </w:rPr>
        <w:t>、增刊和会议论文集（除EI或ISTP会议论文收录）不能作为参评依据。</w:t>
      </w:r>
    </w:p>
    <w:p>
      <w:pPr>
        <w:widowControl/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三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 xml:space="preserve"> 主持科研项目计分标准（单位：分</w:t>
      </w:r>
      <w:r>
        <w:rPr>
          <w:rFonts w:ascii="仿宋" w:hAnsi="仿宋" w:eastAsia="仿宋"/>
          <w:b/>
          <w:sz w:val="28"/>
          <w:szCs w:val="28"/>
        </w:rPr>
        <w:t>/</w:t>
      </w:r>
      <w:r>
        <w:rPr>
          <w:rFonts w:hint="eastAsia" w:ascii="仿宋" w:hAnsi="仿宋" w:eastAsia="仿宋"/>
          <w:b/>
          <w:sz w:val="28"/>
          <w:szCs w:val="28"/>
        </w:rPr>
        <w:t>项）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9"/>
        <w:gridCol w:w="3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  <w:t>科研项目级别</w:t>
            </w:r>
          </w:p>
        </w:tc>
        <w:tc>
          <w:tcPr>
            <w:tcW w:w="33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国家自然科学基金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国家科技部各类项目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国家产业化项目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国家有关部委项目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省级重大（重点）项目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省攻关项目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其他省级项目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厅级项目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市级</w:t>
            </w:r>
          </w:p>
        </w:tc>
        <w:tc>
          <w:tcPr>
            <w:tcW w:w="33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518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校级</w:t>
            </w:r>
          </w:p>
        </w:tc>
        <w:tc>
          <w:tcPr>
            <w:tcW w:w="333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  <w:lang w:val="en-US" w:eastAsia="zh-CN"/>
              </w:rPr>
              <w:t>10</w:t>
            </w:r>
          </w:p>
        </w:tc>
      </w:tr>
    </w:tbl>
    <w:p>
      <w:pPr>
        <w:widowControl/>
        <w:spacing w:after="312" w:afterLines="100"/>
        <w:ind w:firstLine="422" w:firstLineChars="200"/>
        <w:jc w:val="left"/>
        <w:rPr>
          <w:rFonts w:ascii="仿宋" w:hAnsi="仿宋" w:eastAsia="仿宋" w:cs="宋体"/>
          <w:color w:val="000000"/>
          <w:kern w:val="0"/>
          <w:sz w:val="20"/>
          <w:szCs w:val="1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1"/>
          <w:szCs w:val="20"/>
        </w:rPr>
        <w:t>注：科研项目必须为主持方可计分；</w:t>
      </w:r>
      <w:r>
        <w:rPr>
          <w:rFonts w:hint="eastAsia" w:ascii="仿宋" w:hAnsi="仿宋" w:eastAsia="仿宋" w:cs="宋体"/>
          <w:color w:val="000000"/>
          <w:kern w:val="0"/>
          <w:sz w:val="20"/>
          <w:szCs w:val="18"/>
        </w:rPr>
        <w:t xml:space="preserve"> </w:t>
      </w:r>
    </w:p>
    <w:p>
      <w:pPr>
        <w:widowControl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 xml:space="preserve"> 参加学术会议及作学术报告计分标准（单位：分</w:t>
      </w:r>
      <w:r>
        <w:rPr>
          <w:rFonts w:ascii="仿宋" w:hAnsi="仿宋" w:eastAsia="仿宋"/>
          <w:b/>
          <w:sz w:val="28"/>
          <w:szCs w:val="28"/>
        </w:rPr>
        <w:t>/</w:t>
      </w:r>
      <w:r>
        <w:rPr>
          <w:rFonts w:hint="eastAsia" w:ascii="仿宋" w:hAnsi="仿宋" w:eastAsia="仿宋"/>
          <w:b/>
          <w:sz w:val="28"/>
          <w:szCs w:val="28"/>
        </w:rPr>
        <w:t>项）</w:t>
      </w:r>
    </w:p>
    <w:tbl>
      <w:tblPr>
        <w:tblStyle w:val="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8"/>
        <w:gridCol w:w="2354"/>
        <w:gridCol w:w="2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  <w:t>学术会议级别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  <w:t>参加会议分值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18"/>
                <w:szCs w:val="18"/>
              </w:rPr>
              <w:t>作学术报告分值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国际学术会议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5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全国性学术会议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省级学术会议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0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3</w:t>
            </w:r>
          </w:p>
        </w:tc>
      </w:tr>
    </w:tbl>
    <w:p>
      <w:pPr>
        <w:widowControl/>
        <w:spacing w:after="156" w:afterLines="50"/>
        <w:ind w:firstLine="422" w:firstLineChars="200"/>
        <w:jc w:val="left"/>
        <w:rPr>
          <w:rFonts w:ascii="仿宋" w:hAnsi="仿宋" w:eastAsia="仿宋" w:cs="宋体"/>
          <w:b/>
          <w:bCs/>
          <w:color w:val="000000"/>
          <w:kern w:val="0"/>
          <w:sz w:val="21"/>
          <w:szCs w:val="20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1"/>
          <w:szCs w:val="20"/>
        </w:rPr>
        <w:t>注：参加学术会议依据为：被会议收录的论文摘要或论文、会议POST材料、学术会议上作学术报告材料三者之一，同时提供本人到会证明。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outlineLvl w:val="9"/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</w:rPr>
        <w:t>、其他计分</w:t>
      </w:r>
      <w:r>
        <w:rPr>
          <w:rFonts w:hint="eastAsia" w:ascii="仿宋_GB2312" w:hAnsi="宋体" w:eastAsia="仿宋_GB2312" w:cs="Tahoma"/>
          <w:color w:val="000000"/>
          <w:sz w:val="32"/>
          <w:szCs w:val="32"/>
        </w:rPr>
        <w:t xml:space="preserve"> 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1、英语过</w:t>
      </w:r>
      <w:r>
        <w:rPr>
          <w:rFonts w:ascii="仿宋" w:hAnsi="仿宋" w:eastAsia="仿宋"/>
          <w:sz w:val="28"/>
          <w:szCs w:val="28"/>
        </w:rPr>
        <w:t>CET-6</w:t>
      </w:r>
      <w:r>
        <w:rPr>
          <w:rFonts w:hint="eastAsia" w:ascii="仿宋" w:hAnsi="仿宋" w:eastAsia="仿宋"/>
          <w:sz w:val="28"/>
          <w:szCs w:val="28"/>
        </w:rPr>
        <w:t>（≥425分）者总分值加0.5分</w:t>
      </w:r>
      <w:r>
        <w:rPr>
          <w:rFonts w:hint="eastAsia" w:ascii="仿宋" w:hAnsi="仿宋" w:eastAsia="仿宋"/>
          <w:sz w:val="28"/>
          <w:szCs w:val="28"/>
          <w:lang w:eastAsia="zh-CN"/>
        </w:rPr>
        <w:t>，在读期间仅可加分一次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2、在研究生期间被处分的同学给予下列扣分：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（1）学院内通报批评处分：总分值扣0.5分；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（2）学院内通报批评以上处分的取消奖学金评定资格。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（3）学校给予任何处分通报的取消奖学金评定资格。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</w:t>
      </w:r>
      <w:r>
        <w:rPr>
          <w:rFonts w:ascii="仿宋" w:hAnsi="仿宋" w:eastAsia="仿宋"/>
          <w:sz w:val="28"/>
          <w:szCs w:val="28"/>
        </w:rPr>
        <w:t>未</w:t>
      </w:r>
      <w:r>
        <w:rPr>
          <w:rFonts w:hint="eastAsia" w:ascii="仿宋" w:hAnsi="仿宋" w:eastAsia="仿宋"/>
          <w:sz w:val="28"/>
          <w:szCs w:val="28"/>
        </w:rPr>
        <w:t>达到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资源与环境工程学院、喀斯特环境与地质灾害重点实验室全日制研究生一、二年级活动管理制度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要求的</w:t>
      </w:r>
      <w:r>
        <w:rPr>
          <w:rFonts w:ascii="仿宋" w:hAnsi="仿宋" w:eastAsia="仿宋"/>
          <w:sz w:val="28"/>
          <w:szCs w:val="28"/>
        </w:rPr>
        <w:t>将取消奖学金评定资格。</w:t>
      </w:r>
    </w:p>
    <w:p>
      <w:pPr>
        <w:widowControl/>
        <w:spacing w:line="480" w:lineRule="exact"/>
        <w:jc w:val="left"/>
        <w:rPr>
          <w:rFonts w:ascii="仿宋" w:hAnsi="仿宋" w:eastAsia="仿宋"/>
          <w:sz w:val="28"/>
          <w:szCs w:val="28"/>
        </w:rPr>
      </w:pPr>
    </w:p>
    <w:p>
      <w:pPr>
        <w:widowControl/>
        <w:spacing w:line="480" w:lineRule="exact"/>
        <w:jc w:val="righ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资源环境工程学院</w:t>
      </w:r>
    </w:p>
    <w:p>
      <w:pPr>
        <w:widowControl/>
        <w:spacing w:line="480" w:lineRule="exact"/>
        <w:jc w:val="righ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喀斯特重点实验室</w:t>
      </w:r>
    </w:p>
    <w:p>
      <w:pPr>
        <w:widowControl/>
        <w:spacing w:line="480" w:lineRule="exact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2019年10月31日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266207"/>
    <w:multiLevelType w:val="singleLevel"/>
    <w:tmpl w:val="D526620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0C"/>
    <w:rsid w:val="00077787"/>
    <w:rsid w:val="006833D6"/>
    <w:rsid w:val="008A1ADD"/>
    <w:rsid w:val="00CC72AC"/>
    <w:rsid w:val="00D45892"/>
    <w:rsid w:val="00F1270C"/>
    <w:rsid w:val="024535B3"/>
    <w:rsid w:val="02825E6E"/>
    <w:rsid w:val="03302057"/>
    <w:rsid w:val="05762F86"/>
    <w:rsid w:val="06BF65DC"/>
    <w:rsid w:val="0A635B0C"/>
    <w:rsid w:val="0C3259CA"/>
    <w:rsid w:val="15DA53D1"/>
    <w:rsid w:val="169F2628"/>
    <w:rsid w:val="1BA64376"/>
    <w:rsid w:val="1E9B4050"/>
    <w:rsid w:val="1F7B4848"/>
    <w:rsid w:val="212729F1"/>
    <w:rsid w:val="21C25CCD"/>
    <w:rsid w:val="21DF7637"/>
    <w:rsid w:val="225377B9"/>
    <w:rsid w:val="22904BEC"/>
    <w:rsid w:val="234A223C"/>
    <w:rsid w:val="236078EF"/>
    <w:rsid w:val="283054BA"/>
    <w:rsid w:val="28495898"/>
    <w:rsid w:val="2A64430B"/>
    <w:rsid w:val="2FF54CB6"/>
    <w:rsid w:val="31210C95"/>
    <w:rsid w:val="35AC7F8D"/>
    <w:rsid w:val="38E97C44"/>
    <w:rsid w:val="3B5A3DD9"/>
    <w:rsid w:val="3D195A44"/>
    <w:rsid w:val="3E99116A"/>
    <w:rsid w:val="417E59C1"/>
    <w:rsid w:val="427C4DBF"/>
    <w:rsid w:val="434D38B3"/>
    <w:rsid w:val="435E6DC9"/>
    <w:rsid w:val="49543027"/>
    <w:rsid w:val="49E33E5D"/>
    <w:rsid w:val="4C3C7273"/>
    <w:rsid w:val="4DB239FE"/>
    <w:rsid w:val="52317F7E"/>
    <w:rsid w:val="566C2E01"/>
    <w:rsid w:val="5BF07824"/>
    <w:rsid w:val="5CDC4C1C"/>
    <w:rsid w:val="5DAF0FED"/>
    <w:rsid w:val="627A71D1"/>
    <w:rsid w:val="6B221B22"/>
    <w:rsid w:val="6C8A0C77"/>
    <w:rsid w:val="750A2A89"/>
    <w:rsid w:val="752A50DE"/>
    <w:rsid w:val="752E531A"/>
    <w:rsid w:val="75C26F60"/>
    <w:rsid w:val="7899180D"/>
    <w:rsid w:val="7B7B0F34"/>
    <w:rsid w:val="7BEE3FBE"/>
    <w:rsid w:val="7D421A3A"/>
    <w:rsid w:val="7DCA5D0E"/>
    <w:rsid w:val="7EA8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368</Words>
  <Characters>2104</Characters>
  <Lines>17</Lines>
  <Paragraphs>4</Paragraphs>
  <TotalTime>18</TotalTime>
  <ScaleCrop>false</ScaleCrop>
  <LinksUpToDate>false</LinksUpToDate>
  <CharactersWithSpaces>2468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2016-12-08T02:40:00Z</dcterms:created>
  <dc:creator>admin</dc:creator>
  <cp:lastModifiedBy>綦娅</cp:lastModifiedBy>
  <cp:lastPrinted>2019-10-31T01:57:00Z</cp:lastPrinted>
  <dcterms:modified xsi:type="dcterms:W3CDTF">2019-10-31T09:14:43Z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